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1ras Jornadas colaborativas de reflexión y formación sobre políticas académicas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Primera Circular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Propuesta de esquema general para los dos días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Secretaría Académica de la Universidad Nacional del Comahue invita a las jornadas que se presentan como oportunidad de un espacio de encuentro y trabajo colaborativo entre las Unidades Académicas que conforman nuestra universidad. Forman parte de estas Jornadas, la Dirección de Orientación e Ingreso Estudiantil, el Área de Trayectorias Académicas, la Comisión Universitaria sobre Accesibilidad al Medio Físico y Social y la Dirección de Educación a Distancia y Mediación Tecnológica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el fin de organizar los días de encuentro, acercamos este primer cronograma, que si bien no están detalladas aún las temática a tratar, es una forma de conocer el formato de trabajo.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primer día de las jornadas se dividirá en 4 grandes temas correspondientes a orientación e ingreso estudiantil, trayectorias académicas, accesibilidad al medio físico y social y SIED. Cada espacio de conferencia corresponderá a una temática, y seguirá un trabajo colaborativo y puesta en común.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Cronograma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1f497d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1f497d" w:val="clear"/>
          <w:vertAlign w:val="baseline"/>
          <w:rtl w:val="0"/>
        </w:rPr>
        <w:t xml:space="preserve">Lunes 4 de noviembre</w:t>
      </w:r>
      <w:r w:rsidDel="00000000" w:rsidR="00000000" w:rsidRPr="00000000">
        <w:rPr>
          <w:rtl w:val="0"/>
        </w:rPr>
      </w:r>
    </w:p>
    <w:tbl>
      <w:tblPr>
        <w:tblStyle w:val="Table1"/>
        <w:tblW w:w="91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218"/>
        <w:tblGridChange w:id="0">
          <w:tblGrid>
            <w:gridCol w:w="1951"/>
            <w:gridCol w:w="72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8:30 a 9hs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Acreditación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a 10 hs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Conferencia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a 11 hs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Espacio de diálogo 1</w:t>
              <w:br w:type="textWrapping"/>
              <w:t xml:space="preserve"> (trabajo por grupo y plenario)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 a 12 hs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Mediación tecnológica en educación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La experiencia del CURZA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 a 13 hs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Espacio de diálogo 2</w:t>
              <w:br w:type="textWrapping"/>
              <w:t xml:space="preserve"> (trabajo por grupo y plenario)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 a 14hs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ALMUERZO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 a 15 hs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Accesibilidad  y discapacidad en las universidades públicas de Argentina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Sandra Katz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 a 16 hs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Espacio de diálogo 3</w:t>
              <w:br w:type="textWrapping"/>
              <w:t xml:space="preserve"> (trabajo por grupo y plenario)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 a 17 hs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Conferencia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 a 18 hs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Espacio de diálogo 4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Durante el segundo día de las Jornadas se desarrollarán dos temas de gran relevancia, y culminaremos con una reunión por áreas.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1f497d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1f497d" w:val="clear"/>
          <w:vertAlign w:val="baseline"/>
          <w:rtl w:val="0"/>
        </w:rPr>
        <w:t xml:space="preserve">Martes 5 de noviembre</w:t>
      </w:r>
      <w:r w:rsidDel="00000000" w:rsidR="00000000" w:rsidRPr="00000000">
        <w:rPr>
          <w:rtl w:val="0"/>
        </w:rPr>
      </w:r>
    </w:p>
    <w:tbl>
      <w:tblPr>
        <w:tblStyle w:val="Table2"/>
        <w:tblW w:w="91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218"/>
        <w:tblGridChange w:id="0">
          <w:tblGrid>
            <w:gridCol w:w="1951"/>
            <w:gridCol w:w="72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a 11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Sistema de créditos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Pablo Beneitone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a 11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Espacio de diálogo 1</w:t>
              <w:br w:type="textWrapping"/>
              <w:t xml:space="preserve"> (trabajo por grupo y plenario)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 a 13 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Charla-taller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Reflexión en torno a la construcción de información estadística orientada a la gestión académica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Mgter Lucia Eldestein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 a 14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ALMUERZO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 a 17 hs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Reunión por áreas de trabajo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INSCRIPCIÓN: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FORMULARIO DE INSCRIPCIÓN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4 y 5 de noviembre de 2024 – Neuquén – Universidad Nacional del Comahue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40525" cy="806450"/>
          <wp:effectExtent b="0" l="0" r="0" t="0"/>
          <wp:docPr descr="LOGO SEC ACAD.jpg" id="1" name="image2.png"/>
          <a:graphic>
            <a:graphicData uri="http://schemas.openxmlformats.org/drawingml/2006/picture">
              <pic:pic>
                <pic:nvPicPr>
                  <pic:cNvPr descr="LOGO SEC ACAD.jp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0525" cy="806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pict>
        <v:shape id="_x0000_s1025" style="position:absolute;margin-left:87.5pt;margin-top:20.5pt;width:385.5pt;height:46.5pt;z-index:251658240;mso-position-horizontal:absolute;mso-position-vertical:absolute;mso-position-horizontal-relative:margin;mso-position-vertical-relative:text;" stroked="f" type="#_x0000_t202">
          <v:textbox style="mso-next-textbox:#_x0000_s1025">
            <w:txbxContent>
              <w:p w:rsidR="000F2A22" w:rsidDel="00000000" w:rsidP="00000000" w:rsidRDefault="000F2A22" w:rsidRPr="000F2A22">
                <w:pPr>
                  <w:rPr>
                    <w:b w:val="1"/>
                    <w:color w:val="365f91" w:themeColor="accent1" w:themeShade="0000BF"/>
                    <w:sz w:val="28"/>
                    <w:lang w:val="es-AR"/>
                  </w:rPr>
                </w:pPr>
                <w:r w:rsidDel="00000000" w:rsidR="00000000" w:rsidRPr="000F2A22">
                  <w:rPr>
                    <w:b w:val="1"/>
                    <w:color w:val="365f91" w:themeColor="accent1" w:themeShade="0000BF"/>
                    <w:sz w:val="28"/>
                    <w:lang w:val="es-AR"/>
                  </w:rPr>
                  <w:t>Secretaría Académica</w:t>
                </w:r>
              </w:p>
              <w:p w:rsidR="000F2A22" w:rsidDel="00000000" w:rsidP="00000000" w:rsidRDefault="000F2A22" w:rsidRPr="000F2A22">
                <w:pPr>
                  <w:rPr>
                    <w:b w:val="1"/>
                    <w:sz w:val="28"/>
                    <w:lang w:val="es-AR"/>
                  </w:rPr>
                </w:pPr>
                <w:r w:rsidDel="00000000" w:rsidR="00000000" w:rsidRPr="000F2A22">
                  <w:rPr>
                    <w:b w:val="1"/>
                    <w:color w:val="365f91" w:themeColor="accent1" w:themeShade="0000BF"/>
                    <w:sz w:val="28"/>
                    <w:lang w:val="es-AR"/>
                  </w:rPr>
                  <w:t>Universidad Nacional del Comahue</w:t>
                </w:r>
              </w:p>
            </w:txbxContent>
          </v:textbox>
        </v:shape>
      </w:pict>
    </w:r>
    <w:r w:rsidDel="00000000" w:rsidR="00000000" w:rsidRPr="00000000">
      <w:pict>
        <v:shape id="_x0000_s1026" style="position:absolute;margin-left:375.0pt;margin-top:-9.0pt;width:82.5pt;height:83pt;z-index:251659264;mso-position-horizontal:absolute;mso-position-vertical:absolute;mso-position-horizontal-relative:margin;mso-position-vertical-relative:text;" stroked="f" type="#_x0000_t202">
          <v:textbox style="mso-next-textbox:#_x0000_s1026">
            <w:txbxContent>
              <w:p w:rsidR="000F2A22" w:rsidDel="00000000" w:rsidP="00000000" w:rsidRDefault="000F2A22" w:rsidRPr="00000000">
                <w:r w:rsidDel="00000000" w:rsidR="00000000" w:rsidRPr="00000000">
                  <w:rPr>
                    <w:noProof w:val="1"/>
                  </w:rPr>
                  <w:drawing>
                    <wp:inline distB="0" distT="0" distL="0" distR="0">
                      <wp:extent cx="908050" cy="908050"/>
                      <wp:effectExtent b="0" l="19050" r="6350" t="0"/>
                      <wp:docPr descr="logo unco.jpg" id="4" name="3 Imagen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logo unc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861" cy="9088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forms.gle/FE67f3JvZdwjb9dB9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